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5103"/>
      </w:tblGrid>
      <w:tr w:rsidR="000747E1" w:rsidRPr="00403944" w:rsidTr="00DF3FC0">
        <w:trPr>
          <w:trHeight w:val="841"/>
        </w:trPr>
        <w:tc>
          <w:tcPr>
            <w:tcW w:w="4683" w:type="dxa"/>
            <w:hideMark/>
          </w:tcPr>
          <w:p w:rsidR="000747E1" w:rsidRPr="000747E1" w:rsidRDefault="000747E1" w:rsidP="00DF3FC0">
            <w:pPr>
              <w:pStyle w:val="Vnbnnidung0"/>
              <w:spacing w:after="0"/>
              <w:ind w:firstLine="0"/>
              <w:jc w:val="center"/>
              <w:rPr>
                <w:rFonts w:ascii="Arial" w:hAnsi="Arial" w:cs="Arial"/>
                <w:i w:val="0"/>
                <w:sz w:val="20"/>
                <w:szCs w:val="20"/>
              </w:rPr>
            </w:pPr>
            <w:bookmarkStart w:id="0" w:name="_GoBack"/>
            <w:r w:rsidRPr="000747E1">
              <w:rPr>
                <w:rFonts w:ascii="Arial" w:hAnsi="Arial" w:cs="Arial"/>
                <w:i w:val="0"/>
                <w:sz w:val="20"/>
                <w:szCs w:val="20"/>
              </w:rPr>
              <w:t>CỤC THUẾ</w:t>
            </w:r>
          </w:p>
          <w:p w:rsidR="000747E1" w:rsidRPr="000747E1" w:rsidRDefault="000747E1" w:rsidP="00DF3FC0">
            <w:pPr>
              <w:pStyle w:val="Vnbnnidung0"/>
              <w:spacing w:after="280"/>
              <w:ind w:firstLine="0"/>
              <w:jc w:val="center"/>
              <w:rPr>
                <w:rFonts w:ascii="Arial" w:hAnsi="Arial" w:cs="Arial"/>
                <w:b/>
                <w:bCs/>
                <w:i w:val="0"/>
                <w:iCs w:val="0"/>
                <w:sz w:val="20"/>
                <w:szCs w:val="20"/>
              </w:rPr>
            </w:pPr>
            <w:r w:rsidRPr="000747E1">
              <w:rPr>
                <w:rFonts w:ascii="Arial" w:hAnsi="Arial" w:cs="Arial"/>
                <w:b/>
                <w:bCs/>
                <w:i w:val="0"/>
                <w:sz w:val="20"/>
                <w:szCs w:val="20"/>
              </w:rPr>
              <w:t>CHI CỤC THUẾ KHU VỰC XVII</w:t>
            </w:r>
          </w:p>
          <w:p w:rsidR="000747E1" w:rsidRPr="000747E1" w:rsidRDefault="000747E1" w:rsidP="000747E1">
            <w:pPr>
              <w:pStyle w:val="Vnbnnidung0"/>
              <w:spacing w:after="120" w:line="288" w:lineRule="auto"/>
              <w:ind w:firstLine="0"/>
              <w:jc w:val="center"/>
              <w:rPr>
                <w:rFonts w:ascii="Arial" w:hAnsi="Arial" w:cs="Arial"/>
                <w:i w:val="0"/>
                <w:sz w:val="20"/>
                <w:szCs w:val="20"/>
              </w:rPr>
            </w:pPr>
            <w:r w:rsidRPr="000747E1">
              <w:rPr>
                <w:rFonts w:ascii="Arial" w:hAnsi="Arial" w:cs="Arial"/>
                <w:i w:val="0"/>
                <w:iCs w:val="0"/>
                <w:sz w:val="20"/>
                <w:szCs w:val="20"/>
              </w:rPr>
              <w:t>Số: 562/CCTKV17-QLDN1</w:t>
            </w:r>
            <w:r w:rsidRPr="000747E1">
              <w:rPr>
                <w:rFonts w:ascii="Arial" w:hAnsi="Arial" w:cs="Arial"/>
                <w:i w:val="0"/>
                <w:iCs w:val="0"/>
                <w:sz w:val="20"/>
                <w:szCs w:val="20"/>
              </w:rPr>
              <w:br/>
              <w:t>V/v hoàn thuế GTGT</w:t>
            </w:r>
          </w:p>
        </w:tc>
        <w:tc>
          <w:tcPr>
            <w:tcW w:w="5103" w:type="dxa"/>
            <w:hideMark/>
          </w:tcPr>
          <w:p w:rsidR="000747E1" w:rsidRPr="000747E1" w:rsidRDefault="000747E1" w:rsidP="00DF3FC0">
            <w:pPr>
              <w:pStyle w:val="Vnbnnidung0"/>
              <w:ind w:right="440" w:firstLine="284"/>
              <w:jc w:val="center"/>
              <w:rPr>
                <w:rFonts w:ascii="Arial" w:hAnsi="Arial" w:cs="Arial"/>
                <w:b/>
                <w:bCs/>
                <w:i w:val="0"/>
                <w:sz w:val="20"/>
                <w:szCs w:val="20"/>
              </w:rPr>
            </w:pPr>
            <w:r w:rsidRPr="000747E1">
              <w:rPr>
                <w:rFonts w:ascii="Arial" w:hAnsi="Arial" w:cs="Arial"/>
                <w:b/>
                <w:bCs/>
                <w:i w:val="0"/>
                <w:sz w:val="20"/>
                <w:szCs w:val="20"/>
              </w:rPr>
              <w:t>CỘNG HOÀ XÃ HỘI CHỦ NGHĨA VIỆT NAM</w:t>
            </w:r>
          </w:p>
          <w:p w:rsidR="000747E1" w:rsidRPr="000747E1" w:rsidRDefault="000747E1" w:rsidP="00DF3FC0">
            <w:pPr>
              <w:pStyle w:val="Vnbnnidung0"/>
              <w:ind w:right="440" w:firstLine="284"/>
              <w:jc w:val="center"/>
              <w:rPr>
                <w:rFonts w:ascii="Arial" w:hAnsi="Arial" w:cs="Arial"/>
                <w:b/>
                <w:bCs/>
                <w:i w:val="0"/>
                <w:sz w:val="20"/>
                <w:szCs w:val="20"/>
              </w:rPr>
            </w:pPr>
            <w:r w:rsidRPr="000747E1">
              <w:rPr>
                <w:rFonts w:ascii="Arial" w:hAnsi="Arial" w:cs="Arial"/>
                <w:b/>
                <w:bCs/>
                <w:i w:val="0"/>
                <w:sz w:val="20"/>
                <w:szCs w:val="20"/>
              </w:rPr>
              <w:t>Độc lập - Tự do - Hạnh phúc</w:t>
            </w:r>
          </w:p>
          <w:p w:rsidR="000747E1" w:rsidRPr="00403944" w:rsidRDefault="000747E1" w:rsidP="000747E1">
            <w:pPr>
              <w:pStyle w:val="Vnbnnidung20"/>
              <w:tabs>
                <w:tab w:val="left" w:pos="4158"/>
              </w:tabs>
              <w:ind w:firstLine="880"/>
              <w:jc w:val="right"/>
              <w:rPr>
                <w:rFonts w:ascii="Arial" w:hAnsi="Arial" w:cs="Arial"/>
                <w:i/>
                <w:sz w:val="20"/>
                <w:szCs w:val="20"/>
              </w:rPr>
            </w:pPr>
            <w:r>
              <w:rPr>
                <w:rFonts w:ascii="Arial" w:hAnsi="Arial" w:cs="Arial"/>
                <w:i/>
                <w:sz w:val="20"/>
                <w:szCs w:val="20"/>
                <w:lang w:val="en-US"/>
              </w:rPr>
              <w:t>Long An</w:t>
            </w:r>
            <w:r w:rsidRPr="00403944">
              <w:rPr>
                <w:rFonts w:ascii="Arial" w:hAnsi="Arial" w:cs="Arial"/>
                <w:i/>
                <w:sz w:val="20"/>
                <w:szCs w:val="20"/>
              </w:rPr>
              <w:t xml:space="preserve">, ngày </w:t>
            </w:r>
            <w:r>
              <w:rPr>
                <w:rFonts w:ascii="Arial" w:hAnsi="Arial" w:cs="Arial"/>
                <w:i/>
                <w:sz w:val="20"/>
                <w:szCs w:val="20"/>
                <w:lang w:val="en-US"/>
              </w:rPr>
              <w:t>23</w:t>
            </w:r>
            <w:r w:rsidRPr="00403944">
              <w:rPr>
                <w:rFonts w:ascii="Arial" w:hAnsi="Arial" w:cs="Arial"/>
                <w:i/>
                <w:sz w:val="20"/>
                <w:szCs w:val="20"/>
              </w:rPr>
              <w:t xml:space="preserve"> tháng 4 năm 2025</w:t>
            </w:r>
          </w:p>
        </w:tc>
      </w:tr>
    </w:tbl>
    <w:p w:rsidR="000747E1" w:rsidRPr="00403944" w:rsidRDefault="000747E1" w:rsidP="000747E1">
      <w:pPr>
        <w:pStyle w:val="Vnbnnidung0"/>
        <w:ind w:firstLine="600"/>
        <w:jc w:val="both"/>
        <w:rPr>
          <w:rFonts w:ascii="Arial" w:hAnsi="Arial" w:cs="Arial"/>
          <w:i w:val="0"/>
          <w:iCs w:val="0"/>
          <w:sz w:val="20"/>
          <w:szCs w:val="20"/>
        </w:rPr>
      </w:pPr>
    </w:p>
    <w:tbl>
      <w:tblPr>
        <w:tblStyle w:val="TableGrid"/>
        <w:tblW w:w="9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7"/>
      </w:tblGrid>
      <w:tr w:rsidR="000747E1" w:rsidRPr="00403944" w:rsidTr="00DF3FC0">
        <w:trPr>
          <w:trHeight w:val="994"/>
        </w:trPr>
        <w:tc>
          <w:tcPr>
            <w:tcW w:w="3119" w:type="dxa"/>
            <w:hideMark/>
          </w:tcPr>
          <w:p w:rsidR="000747E1" w:rsidRPr="00882675" w:rsidRDefault="000747E1" w:rsidP="00DF3FC0">
            <w:pPr>
              <w:pStyle w:val="Vnbnnidung0"/>
              <w:tabs>
                <w:tab w:val="left" w:pos="4440"/>
              </w:tabs>
              <w:ind w:firstLine="0"/>
              <w:jc w:val="center"/>
              <w:rPr>
                <w:rFonts w:ascii="Arial" w:hAnsi="Arial" w:cs="Arial"/>
                <w:sz w:val="20"/>
                <w:szCs w:val="20"/>
              </w:rPr>
            </w:pPr>
            <w:r w:rsidRPr="00882675">
              <w:rPr>
                <w:rFonts w:ascii="Arial" w:hAnsi="Arial" w:cs="Arial"/>
                <w:sz w:val="20"/>
                <w:szCs w:val="20"/>
              </w:rPr>
              <w:t>Kính gửi:</w:t>
            </w:r>
          </w:p>
        </w:tc>
        <w:tc>
          <w:tcPr>
            <w:tcW w:w="6667" w:type="dxa"/>
            <w:hideMark/>
          </w:tcPr>
          <w:p w:rsidR="000747E1" w:rsidRPr="000747E1" w:rsidRDefault="000747E1" w:rsidP="000747E1">
            <w:pPr>
              <w:pStyle w:val="Vnbnnidung0"/>
              <w:spacing w:after="0"/>
              <w:ind w:firstLine="0"/>
              <w:jc w:val="both"/>
              <w:rPr>
                <w:rFonts w:ascii="Arial" w:hAnsi="Arial" w:cs="Arial"/>
                <w:sz w:val="20"/>
                <w:szCs w:val="20"/>
              </w:rPr>
            </w:pPr>
            <w:r w:rsidRPr="000747E1">
              <w:rPr>
                <w:rFonts w:ascii="Arial" w:hAnsi="Arial" w:cs="Arial"/>
                <w:i w:val="0"/>
                <w:iCs w:val="0"/>
                <w:sz w:val="20"/>
                <w:szCs w:val="20"/>
              </w:rPr>
              <w:t>Công ty TNHH Caboo Cup;</w:t>
            </w:r>
          </w:p>
          <w:p w:rsidR="000747E1" w:rsidRPr="000747E1" w:rsidRDefault="000747E1" w:rsidP="000747E1">
            <w:pPr>
              <w:pStyle w:val="Vnbnnidung0"/>
              <w:spacing w:after="0"/>
              <w:ind w:firstLine="0"/>
              <w:rPr>
                <w:rFonts w:ascii="Arial" w:hAnsi="Arial" w:cs="Arial"/>
                <w:sz w:val="20"/>
                <w:szCs w:val="20"/>
              </w:rPr>
            </w:pPr>
            <w:r w:rsidRPr="000747E1">
              <w:rPr>
                <w:rFonts w:ascii="Arial" w:hAnsi="Arial" w:cs="Arial"/>
                <w:i w:val="0"/>
                <w:iCs w:val="0"/>
                <w:smallCaps/>
                <w:sz w:val="20"/>
                <w:szCs w:val="20"/>
              </w:rPr>
              <w:t>MsT:</w:t>
            </w:r>
            <w:r w:rsidRPr="000747E1">
              <w:rPr>
                <w:rFonts w:ascii="Arial" w:hAnsi="Arial" w:cs="Arial"/>
                <w:i w:val="0"/>
                <w:iCs w:val="0"/>
                <w:sz w:val="20"/>
                <w:szCs w:val="20"/>
              </w:rPr>
              <w:t xml:space="preserve"> 1101994582;</w:t>
            </w:r>
          </w:p>
          <w:p w:rsidR="000747E1" w:rsidRPr="00882675" w:rsidRDefault="000747E1" w:rsidP="000747E1">
            <w:pPr>
              <w:pStyle w:val="Vnbnnidung0"/>
              <w:spacing w:after="280"/>
              <w:ind w:firstLine="0"/>
              <w:rPr>
                <w:rFonts w:ascii="Arial" w:hAnsi="Arial" w:cs="Arial"/>
                <w:sz w:val="20"/>
                <w:szCs w:val="20"/>
              </w:rPr>
            </w:pPr>
            <w:r w:rsidRPr="000747E1">
              <w:rPr>
                <w:rFonts w:ascii="Arial" w:hAnsi="Arial" w:cs="Arial"/>
                <w:i w:val="0"/>
                <w:iCs w:val="0"/>
                <w:sz w:val="20"/>
                <w:szCs w:val="20"/>
              </w:rPr>
              <w:t>Địa chỉ: Thửa đất số 150,151,152,153,154 -Tờ bản đồ số 29, ấp 5, xã Đức Hòa Đông, huyện Đức Hòa, tỉnh Long An, Việt Nam.</w:t>
            </w:r>
          </w:p>
        </w:tc>
      </w:tr>
    </w:tbl>
    <w:p w:rsidR="00414D8C" w:rsidRPr="000747E1" w:rsidRDefault="0014637B" w:rsidP="000747E1">
      <w:pPr>
        <w:pStyle w:val="Vnbnnidung0"/>
        <w:spacing w:after="120"/>
        <w:ind w:firstLine="720"/>
        <w:rPr>
          <w:rFonts w:ascii="Arial" w:hAnsi="Arial" w:cs="Arial"/>
          <w:sz w:val="20"/>
          <w:szCs w:val="20"/>
        </w:rPr>
      </w:pPr>
      <w:r w:rsidRPr="000747E1">
        <w:rPr>
          <w:rFonts w:ascii="Arial" w:hAnsi="Arial" w:cs="Arial"/>
          <w:i w:val="0"/>
          <w:iCs w:val="0"/>
          <w:sz w:val="20"/>
          <w:szCs w:val="20"/>
        </w:rPr>
        <w:t>Trả lời văn bản số 01-04/2025/CABOO ngày 08/04/2025 của Công ty TNHH Caboo Cup (sau đây gọi tắt là Công ty) về việc hướng dẫn chính sách hoàn thuế GTGT. Chi</w:t>
      </w:r>
      <w:r w:rsidRPr="000747E1">
        <w:rPr>
          <w:rFonts w:ascii="Arial" w:hAnsi="Arial" w:cs="Arial"/>
          <w:i w:val="0"/>
          <w:iCs w:val="0"/>
          <w:sz w:val="20"/>
          <w:szCs w:val="20"/>
        </w:rPr>
        <w:t xml:space="preserve"> cục Thuế có ý kiến như sau:</w:t>
      </w:r>
    </w:p>
    <w:p w:rsidR="00414D8C" w:rsidRPr="000747E1" w:rsidRDefault="0014637B" w:rsidP="000747E1">
      <w:pPr>
        <w:pStyle w:val="Vnbnnidung0"/>
        <w:spacing w:after="120"/>
        <w:ind w:firstLine="720"/>
        <w:rPr>
          <w:rFonts w:ascii="Arial" w:hAnsi="Arial" w:cs="Arial"/>
          <w:sz w:val="20"/>
          <w:szCs w:val="20"/>
        </w:rPr>
      </w:pPr>
      <w:r w:rsidRPr="000747E1">
        <w:rPr>
          <w:rFonts w:ascii="Arial" w:hAnsi="Arial" w:cs="Arial"/>
          <w:i w:val="0"/>
          <w:iCs w:val="0"/>
          <w:sz w:val="20"/>
          <w:szCs w:val="20"/>
        </w:rPr>
        <w:t>- Căn cứ Điều 2 Thông tư số 25/2018/TT-BTC ngày 16/3/2018 sửa đổi, bổ sung khoản 4 Điều 18 Thông tư số 219/2013/TT-BTC ngày 31/12/2013 của Bộ Tài chính (đã được sửa đổi, bổ sung theo Thông tư số 130/2016/TT-BTC ngày 12/8/2016 c</w:t>
      </w:r>
      <w:r w:rsidRPr="000747E1">
        <w:rPr>
          <w:rFonts w:ascii="Arial" w:hAnsi="Arial" w:cs="Arial"/>
          <w:i w:val="0"/>
          <w:iCs w:val="0"/>
          <w:sz w:val="20"/>
          <w:szCs w:val="20"/>
        </w:rPr>
        <w:t>ủa Bộ Tài chính) như sau:</w:t>
      </w:r>
    </w:p>
    <w:p w:rsidR="00414D8C" w:rsidRPr="000747E1" w:rsidRDefault="0014637B" w:rsidP="000747E1">
      <w:pPr>
        <w:pStyle w:val="Vnbnnidung0"/>
        <w:spacing w:after="120"/>
        <w:ind w:firstLine="720"/>
        <w:rPr>
          <w:rFonts w:ascii="Arial" w:hAnsi="Arial" w:cs="Arial"/>
          <w:sz w:val="20"/>
          <w:szCs w:val="20"/>
        </w:rPr>
      </w:pPr>
      <w:r w:rsidRPr="000747E1">
        <w:rPr>
          <w:rFonts w:ascii="Arial" w:hAnsi="Arial" w:cs="Arial"/>
          <w:sz w:val="20"/>
          <w:szCs w:val="20"/>
        </w:rPr>
        <w:t>“4. Hoàn thuế đối với hàng hóa, dịch vụ xuất khẩu</w:t>
      </w:r>
    </w:p>
    <w:p w:rsidR="00414D8C" w:rsidRPr="000747E1" w:rsidRDefault="0014637B" w:rsidP="000747E1">
      <w:pPr>
        <w:pStyle w:val="Vnbnnidung0"/>
        <w:spacing w:after="120"/>
        <w:ind w:firstLine="720"/>
        <w:rPr>
          <w:rFonts w:ascii="Arial" w:hAnsi="Arial" w:cs="Arial"/>
          <w:sz w:val="20"/>
          <w:szCs w:val="20"/>
        </w:rPr>
      </w:pPr>
      <w:r w:rsidRPr="000747E1">
        <w:rPr>
          <w:rFonts w:ascii="Arial" w:hAnsi="Arial" w:cs="Arial"/>
          <w:sz w:val="20"/>
          <w:szCs w:val="20"/>
        </w:rPr>
        <w:t xml:space="preserve">a) Cơ sở kinh doanh trong tháng (đối với trường hợp kê khai theo tháng), quý (đối với trường hợp kê khai theo quý) có hàng hóa, dịch vụ xuất khẩu bao gồm cả trường hợp: Hàng hóa </w:t>
      </w:r>
      <w:r w:rsidRPr="000747E1">
        <w:rPr>
          <w:rFonts w:ascii="Arial" w:hAnsi="Arial" w:cs="Arial"/>
          <w:sz w:val="20"/>
          <w:szCs w:val="20"/>
        </w:rPr>
        <w:t>nhập khẩu sau đó xuất khẩu vào khu phi thuế quan; hànghóa nhập khẩu sau đó xuất khẩu ra nước ngoài, có số thuế giá trị gia tăng đầu vào chưa được khấu trừ từ 300 triệu đồng trở lên thì được hoàn thuế giá trị gia tăng theo tháng, quý; trường hợp trong tháng</w:t>
      </w:r>
      <w:r w:rsidRPr="000747E1">
        <w:rPr>
          <w:rFonts w:ascii="Arial" w:hAnsi="Arial" w:cs="Arial"/>
          <w:sz w:val="20"/>
          <w:szCs w:val="20"/>
        </w:rPr>
        <w:t>, quý số thuế giá trị gia tăng đầu vào chưa được khấu trừ chưa đủ 300 triệu đồng thì được khấu trừ vào tháng, quý tiếp theo.</w:t>
      </w:r>
    </w:p>
    <w:p w:rsidR="00414D8C" w:rsidRPr="000747E1" w:rsidRDefault="0014637B" w:rsidP="000747E1">
      <w:pPr>
        <w:pStyle w:val="Vnbnnidung0"/>
        <w:spacing w:after="120"/>
        <w:ind w:firstLine="720"/>
        <w:rPr>
          <w:rFonts w:ascii="Arial" w:hAnsi="Arial" w:cs="Arial"/>
          <w:sz w:val="20"/>
          <w:szCs w:val="20"/>
        </w:rPr>
      </w:pPr>
      <w:r w:rsidRPr="000747E1">
        <w:rPr>
          <w:rFonts w:ascii="Arial" w:hAnsi="Arial" w:cs="Arial"/>
          <w:sz w:val="20"/>
          <w:szCs w:val="20"/>
        </w:rPr>
        <w:t>Cơ sở kinh doanh trong tháng/quý vừa có hàng hoá, dịch vụ xuất khẩu, vừa có hàng hoá, dịch vụ tiêu thụ nội địa thì cơ sở kinh doanh</w:t>
      </w:r>
      <w:r w:rsidRPr="000747E1">
        <w:rPr>
          <w:rFonts w:ascii="Arial" w:hAnsi="Arial" w:cs="Arial"/>
          <w:sz w:val="20"/>
          <w:szCs w:val="20"/>
        </w:rPr>
        <w:t xml:space="preserve"> phải hạch toán riêng số thuế GTGT đầu vào sử dụng cho sản xuất kinh doanh hàng hóa, dịch vụ xuất khẩu. Trường hợp không hạch toán riêng được thì số thuế giá trị gia tăng đầu vào của hàng hóa, dịch vụ xuất khẩu được xác định theo tỷ lệ giữa doanh thu của h</w:t>
      </w:r>
      <w:r w:rsidRPr="000747E1">
        <w:rPr>
          <w:rFonts w:ascii="Arial" w:hAnsi="Arial" w:cs="Arial"/>
          <w:sz w:val="20"/>
          <w:szCs w:val="20"/>
        </w:rPr>
        <w:t>àng hóa, dịch vụ xuất khẩu trên tổng doanh thu hàng hóa, dịch vụ của các kỳ khai thuế giá trị gia tăng tính từ kỳ khai thuế tiếp theo kỳ hoàn thuế liền trước đến kỳ đề nghị hoàn thuế hiện tại.</w:t>
      </w:r>
    </w:p>
    <w:p w:rsidR="00414D8C" w:rsidRPr="000747E1" w:rsidRDefault="0014637B" w:rsidP="000747E1">
      <w:pPr>
        <w:pStyle w:val="Vnbnnidung0"/>
        <w:spacing w:after="120"/>
        <w:ind w:firstLine="720"/>
        <w:rPr>
          <w:rFonts w:ascii="Arial" w:hAnsi="Arial" w:cs="Arial"/>
          <w:sz w:val="20"/>
          <w:szCs w:val="20"/>
        </w:rPr>
      </w:pPr>
      <w:r w:rsidRPr="000747E1">
        <w:rPr>
          <w:rFonts w:ascii="Arial" w:hAnsi="Arial" w:cs="Arial"/>
          <w:sz w:val="20"/>
          <w:szCs w:val="20"/>
        </w:rPr>
        <w:t>Số thuế GTGT đầu vào của hàng hóa, dịch vụ xuất khẩu (bao gồm s</w:t>
      </w:r>
      <w:r w:rsidRPr="000747E1">
        <w:rPr>
          <w:rFonts w:ascii="Arial" w:hAnsi="Arial" w:cs="Arial"/>
          <w:sz w:val="20"/>
          <w:szCs w:val="20"/>
        </w:rPr>
        <w:t xml:space="preserve">ố thuế GTGT đầu vào hạch toán riêng được và số thuế GTGT đầu vào được phân bổ theo tỷ lệ nêu trên) nếu sau khi bù trừ với số thuế GTGTphải nộp của hàng hóa, dịch vụ tiêu thụ nội địa còn lại từ 300 triệu đồng trở lên thì cơ sở kinh doanh được hoàn thuế cho </w:t>
      </w:r>
      <w:r w:rsidRPr="000747E1">
        <w:rPr>
          <w:rFonts w:ascii="Arial" w:hAnsi="Arial" w:cs="Arial"/>
          <w:sz w:val="20"/>
          <w:szCs w:val="20"/>
        </w:rPr>
        <w:t>hàng hóa, dịch vụ xuất khẩu. Số thuế GTGT được hoàn của</w:t>
      </w:r>
      <w:r w:rsidR="000747E1">
        <w:rPr>
          <w:rFonts w:ascii="Arial" w:hAnsi="Arial" w:cs="Arial"/>
          <w:sz w:val="20"/>
          <w:szCs w:val="20"/>
          <w:lang w:val="en-US"/>
        </w:rPr>
        <w:t xml:space="preserve"> </w:t>
      </w:r>
      <w:r w:rsidRPr="000747E1">
        <w:rPr>
          <w:rStyle w:val="Vnbnnidung"/>
          <w:rFonts w:ascii="Arial" w:hAnsi="Arial" w:cs="Arial"/>
          <w:sz w:val="20"/>
          <w:szCs w:val="20"/>
        </w:rPr>
        <w:t>hàng hóa,</w:t>
      </w:r>
      <w:r w:rsidRPr="000747E1">
        <w:rPr>
          <w:rStyle w:val="Vnbnnidung"/>
          <w:rFonts w:ascii="Arial" w:hAnsi="Arial" w:cs="Arial"/>
          <w:sz w:val="20"/>
          <w:szCs w:val="20"/>
        </w:rPr>
        <w:t xml:space="preserve"> dịch vụ xuất khẩu không vượt quá doanh thu của hàng hóa, dịch vụ xuất khẩu nhân (x) với 10%.</w:t>
      </w:r>
    </w:p>
    <w:p w:rsidR="00414D8C" w:rsidRPr="000747E1" w:rsidRDefault="0014637B" w:rsidP="000747E1">
      <w:pPr>
        <w:pStyle w:val="Vnbnnidung0"/>
        <w:spacing w:after="120"/>
        <w:ind w:firstLine="720"/>
        <w:rPr>
          <w:rFonts w:ascii="Arial" w:hAnsi="Arial" w:cs="Arial"/>
          <w:sz w:val="20"/>
          <w:szCs w:val="20"/>
        </w:rPr>
      </w:pPr>
      <w:r w:rsidRPr="000747E1">
        <w:rPr>
          <w:rFonts w:ascii="Arial" w:hAnsi="Arial" w:cs="Arial"/>
          <w:sz w:val="20"/>
          <w:szCs w:val="20"/>
        </w:rPr>
        <w:t>Đối tượng được hoàn thuế trong một số trường hợp xuất khẩu như sau: Đối với trường hợp ủy thác xuất khẩu, là cơ sở có hàng hóa ủy thác xuất khẩu; đối với gia công</w:t>
      </w:r>
      <w:r w:rsidRPr="000747E1">
        <w:rPr>
          <w:rFonts w:ascii="Arial" w:hAnsi="Arial" w:cs="Arial"/>
          <w:sz w:val="20"/>
          <w:szCs w:val="20"/>
        </w:rPr>
        <w:t xml:space="preserve"> chuyển tiếp, là cơ sở ký hợp đồng gia công xuất khẩu với phía nước ngoài; đối với hàng hóa xuất khẩu để thực hiện công trình xây dựng ở nước ngoài, là doanh nghiệp có hàng hóa, vật tư xuất khẩu thực hiện công trình xây dựng ở nước ngoài; đối với hàng hóa </w:t>
      </w:r>
      <w:r w:rsidRPr="000747E1">
        <w:rPr>
          <w:rFonts w:ascii="Arial" w:hAnsi="Arial" w:cs="Arial"/>
          <w:sz w:val="20"/>
          <w:szCs w:val="20"/>
        </w:rPr>
        <w:t>xuất khẩu tại chỗ là cơ sở kinh doanh có hàng hóa xuất khẩu tại chỗ.</w:t>
      </w:r>
    </w:p>
    <w:p w:rsidR="00414D8C" w:rsidRDefault="0014637B" w:rsidP="000747E1">
      <w:pPr>
        <w:pStyle w:val="Vnbnnidung0"/>
        <w:spacing w:after="120"/>
        <w:ind w:firstLine="720"/>
        <w:rPr>
          <w:rFonts w:ascii="Arial" w:hAnsi="Arial" w:cs="Arial"/>
          <w:sz w:val="20"/>
          <w:szCs w:val="20"/>
        </w:rPr>
      </w:pPr>
      <w:r w:rsidRPr="000747E1">
        <w:rPr>
          <w:rFonts w:ascii="Arial" w:hAnsi="Arial" w:cs="Arial"/>
          <w:sz w:val="20"/>
          <w:szCs w:val="20"/>
        </w:rPr>
        <w:t xml:space="preserve">b) Cơ sở kinh doanh không được hoàn thuế giá trị gia tăng đối với trường hợp: Hàng hóa nhập khẩu sau đó xuất khẩu mà hàng hóa xuất khẩu đó không thực hiện việc xuất khẩu tại địa bàn hoạt </w:t>
      </w:r>
      <w:r w:rsidRPr="000747E1">
        <w:rPr>
          <w:rFonts w:ascii="Arial" w:hAnsi="Arial" w:cs="Arial"/>
          <w:sz w:val="20"/>
          <w:szCs w:val="20"/>
        </w:rPr>
        <w:t>động hải quan theo quy định của pháp luật về hải quan; hàng hóa xuất khẩu không thực hiện việc xuất khẩu tại địa bàn hoạt động hải quan theo quy định của pháp luật về hải quan.</w:t>
      </w:r>
    </w:p>
    <w:p w:rsidR="000747E1" w:rsidRPr="000747E1" w:rsidRDefault="000747E1" w:rsidP="000747E1">
      <w:pPr>
        <w:pStyle w:val="Vnbnnidung0"/>
        <w:spacing w:after="120"/>
        <w:ind w:firstLine="720"/>
        <w:rPr>
          <w:rFonts w:ascii="Arial" w:hAnsi="Arial" w:cs="Arial"/>
          <w:sz w:val="20"/>
          <w:szCs w:val="20"/>
          <w:lang w:val="en-US"/>
        </w:rPr>
      </w:pPr>
      <w:r>
        <w:rPr>
          <w:rFonts w:ascii="Arial" w:hAnsi="Arial" w:cs="Arial"/>
          <w:sz w:val="20"/>
          <w:szCs w:val="20"/>
          <w:lang w:val="en-US"/>
        </w:rPr>
        <w:t>…”</w:t>
      </w:r>
    </w:p>
    <w:p w:rsidR="00414D8C" w:rsidRPr="000747E1" w:rsidRDefault="0014637B" w:rsidP="000747E1">
      <w:pPr>
        <w:pStyle w:val="Vnbnnidung0"/>
        <w:spacing w:after="120"/>
        <w:ind w:firstLine="720"/>
        <w:rPr>
          <w:rFonts w:ascii="Arial" w:hAnsi="Arial" w:cs="Arial"/>
          <w:sz w:val="20"/>
          <w:szCs w:val="20"/>
        </w:rPr>
      </w:pPr>
      <w:r w:rsidRPr="000747E1">
        <w:rPr>
          <w:rFonts w:ascii="Arial" w:hAnsi="Arial" w:cs="Arial"/>
          <w:i w:val="0"/>
          <w:iCs w:val="0"/>
          <w:sz w:val="20"/>
          <w:szCs w:val="20"/>
        </w:rPr>
        <w:t>Căn cứ các quy định trên, trường hợp Công ty có số thuế giá trị gia tăng đầu và</w:t>
      </w:r>
      <w:r w:rsidRPr="000747E1">
        <w:rPr>
          <w:rFonts w:ascii="Arial" w:hAnsi="Arial" w:cs="Arial"/>
          <w:i w:val="0"/>
          <w:iCs w:val="0"/>
          <w:sz w:val="20"/>
          <w:szCs w:val="20"/>
        </w:rPr>
        <w:t>o chưa được khấu trừ của hàng hóa, dịch vụ xuất khẩu từ 300 triệu đồng trở lên thì được hoàn thuế giá trị gia tăng theo hướng dẫn tại tại Điều 2 Thông tư số 25/2018/TT-BTC ngày 16/3/2018 của Bộ Tài chính. Số thuế giá trị gia tăng được hoàn của hàng hóa, dị</w:t>
      </w:r>
      <w:r w:rsidRPr="000747E1">
        <w:rPr>
          <w:rFonts w:ascii="Arial" w:hAnsi="Arial" w:cs="Arial"/>
          <w:i w:val="0"/>
          <w:iCs w:val="0"/>
          <w:sz w:val="20"/>
          <w:szCs w:val="20"/>
        </w:rPr>
        <w:t>ch vụ xuất khẩu không vượt quá doanh thu của hàng hóa, dịch vụ xuất khẩu nhân (x) với 10%.</w:t>
      </w:r>
    </w:p>
    <w:p w:rsidR="00414D8C" w:rsidRPr="000747E1" w:rsidRDefault="0014637B" w:rsidP="000747E1">
      <w:pPr>
        <w:pStyle w:val="Vnbnnidung0"/>
        <w:spacing w:after="120"/>
        <w:ind w:firstLine="720"/>
        <w:rPr>
          <w:rFonts w:ascii="Arial" w:hAnsi="Arial" w:cs="Arial"/>
          <w:sz w:val="20"/>
          <w:szCs w:val="20"/>
        </w:rPr>
      </w:pPr>
      <w:r w:rsidRPr="000747E1">
        <w:rPr>
          <w:rFonts w:ascii="Arial" w:hAnsi="Arial" w:cs="Arial"/>
          <w:i w:val="0"/>
          <w:iCs w:val="0"/>
          <w:sz w:val="20"/>
          <w:szCs w:val="20"/>
        </w:rPr>
        <w:t>Đề nghị Công ty căn cứ vào tình hình thực tế của đơn vị, đối chiếu với quy định tại văn bản pháp luật nêu trên để thực hiện đúng quy định.</w:t>
      </w:r>
    </w:p>
    <w:p w:rsidR="00414D8C" w:rsidRDefault="0014637B" w:rsidP="000747E1">
      <w:pPr>
        <w:pStyle w:val="Vnbnnidung0"/>
        <w:spacing w:after="120"/>
        <w:ind w:firstLine="720"/>
        <w:rPr>
          <w:rFonts w:ascii="Arial" w:hAnsi="Arial" w:cs="Arial"/>
          <w:i w:val="0"/>
          <w:iCs w:val="0"/>
          <w:sz w:val="20"/>
          <w:szCs w:val="20"/>
        </w:rPr>
      </w:pPr>
      <w:r w:rsidRPr="000747E1">
        <w:rPr>
          <w:rFonts w:ascii="Arial" w:hAnsi="Arial" w:cs="Arial"/>
          <w:i w:val="0"/>
          <w:iCs w:val="0"/>
          <w:sz w:val="20"/>
          <w:szCs w:val="20"/>
        </w:rPr>
        <w:t>Chi cục Thuế trả lời cho C</w:t>
      </w:r>
      <w:r w:rsidRPr="000747E1">
        <w:rPr>
          <w:rFonts w:ascii="Arial" w:hAnsi="Arial" w:cs="Arial"/>
          <w:i w:val="0"/>
          <w:iCs w:val="0"/>
          <w:sz w:val="20"/>
          <w:szCs w:val="20"/>
        </w:rPr>
        <w:t>ông ty được biết và thực hiện theo đúng quy định tại văn bản quy phạm pháp luật đã được trích dẫn tại văn bản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584"/>
      </w:tblGrid>
      <w:tr w:rsidR="000747E1" w:rsidRPr="00403944" w:rsidTr="00DF3FC0">
        <w:trPr>
          <w:trHeight w:val="1757"/>
        </w:trPr>
        <w:tc>
          <w:tcPr>
            <w:tcW w:w="4583" w:type="dxa"/>
          </w:tcPr>
          <w:p w:rsidR="000747E1" w:rsidRDefault="000747E1" w:rsidP="00DF3FC0">
            <w:pPr>
              <w:pStyle w:val="Vnbnnidung0"/>
              <w:tabs>
                <w:tab w:val="left" w:pos="6091"/>
              </w:tabs>
              <w:ind w:firstLine="0"/>
              <w:rPr>
                <w:rFonts w:ascii="Arial" w:hAnsi="Arial" w:cs="Arial"/>
                <w:b/>
                <w:bCs/>
                <w:sz w:val="20"/>
                <w:szCs w:val="20"/>
              </w:rPr>
            </w:pPr>
            <w:r w:rsidRPr="00403944">
              <w:rPr>
                <w:rFonts w:ascii="Arial" w:hAnsi="Arial" w:cs="Arial"/>
                <w:b/>
                <w:bCs/>
                <w:sz w:val="20"/>
                <w:szCs w:val="20"/>
              </w:rPr>
              <w:lastRenderedPageBreak/>
              <w:t>Nơi nhận:</w:t>
            </w:r>
          </w:p>
          <w:p w:rsidR="000747E1" w:rsidRPr="000747E1" w:rsidRDefault="000747E1" w:rsidP="000747E1">
            <w:pPr>
              <w:pStyle w:val="Vnbnnidung20"/>
              <w:tabs>
                <w:tab w:val="left" w:pos="258"/>
              </w:tabs>
              <w:rPr>
                <w:rFonts w:ascii="Arial" w:hAnsi="Arial" w:cs="Arial"/>
                <w:sz w:val="20"/>
                <w:szCs w:val="20"/>
              </w:rPr>
            </w:pPr>
            <w:r>
              <w:rPr>
                <w:rFonts w:ascii="Arial" w:hAnsi="Arial" w:cs="Arial"/>
                <w:sz w:val="20"/>
                <w:szCs w:val="20"/>
                <w:lang w:val="en-US"/>
              </w:rPr>
              <w:t>-</w:t>
            </w:r>
            <w:r w:rsidRPr="000747E1">
              <w:rPr>
                <w:rFonts w:ascii="Arial" w:hAnsi="Arial" w:cs="Arial"/>
                <w:sz w:val="20"/>
                <w:szCs w:val="20"/>
              </w:rPr>
              <w:t xml:space="preserve"> </w:t>
            </w:r>
            <w:r w:rsidRPr="000747E1">
              <w:rPr>
                <w:rFonts w:ascii="Arial" w:hAnsi="Arial" w:cs="Arial"/>
                <w:sz w:val="20"/>
                <w:szCs w:val="20"/>
              </w:rPr>
              <w:t>Như trên;</w:t>
            </w:r>
          </w:p>
          <w:p w:rsidR="000747E1" w:rsidRPr="000747E1" w:rsidRDefault="000747E1" w:rsidP="000747E1">
            <w:pPr>
              <w:pStyle w:val="Vnbnnidung20"/>
              <w:tabs>
                <w:tab w:val="left" w:pos="258"/>
              </w:tabs>
              <w:rPr>
                <w:rFonts w:ascii="Arial" w:hAnsi="Arial" w:cs="Arial"/>
                <w:sz w:val="20"/>
                <w:szCs w:val="20"/>
              </w:rPr>
            </w:pPr>
            <w:bookmarkStart w:id="1" w:name="bookmark1"/>
            <w:bookmarkEnd w:id="1"/>
            <w:r>
              <w:rPr>
                <w:rFonts w:ascii="Arial" w:hAnsi="Arial" w:cs="Arial"/>
                <w:sz w:val="20"/>
                <w:szCs w:val="20"/>
                <w:lang w:val="en-US"/>
              </w:rPr>
              <w:t xml:space="preserve">- </w:t>
            </w:r>
            <w:r w:rsidRPr="000747E1">
              <w:rPr>
                <w:rFonts w:ascii="Arial" w:hAnsi="Arial" w:cs="Arial"/>
                <w:sz w:val="20"/>
                <w:szCs w:val="20"/>
              </w:rPr>
              <w:t>BLĐ Chi cục Thuế;</w:t>
            </w:r>
          </w:p>
          <w:p w:rsidR="000747E1" w:rsidRPr="000747E1" w:rsidRDefault="000747E1" w:rsidP="000747E1">
            <w:pPr>
              <w:pStyle w:val="Vnbnnidung20"/>
              <w:tabs>
                <w:tab w:val="left" w:pos="258"/>
              </w:tabs>
              <w:rPr>
                <w:rFonts w:ascii="Arial" w:hAnsi="Arial" w:cs="Arial"/>
                <w:sz w:val="20"/>
                <w:szCs w:val="20"/>
              </w:rPr>
            </w:pPr>
            <w:bookmarkStart w:id="2" w:name="bookmark2"/>
            <w:bookmarkEnd w:id="2"/>
            <w:r>
              <w:rPr>
                <w:rFonts w:ascii="Arial" w:hAnsi="Arial" w:cs="Arial"/>
                <w:sz w:val="20"/>
                <w:szCs w:val="20"/>
                <w:lang w:val="en-US"/>
              </w:rPr>
              <w:t xml:space="preserve">- </w:t>
            </w:r>
            <w:r w:rsidRPr="000747E1">
              <w:rPr>
                <w:rFonts w:ascii="Arial" w:hAnsi="Arial" w:cs="Arial"/>
                <w:sz w:val="20"/>
                <w:szCs w:val="20"/>
              </w:rPr>
              <w:t>Phòng NVDTPC;</w:t>
            </w:r>
          </w:p>
          <w:p w:rsidR="000747E1" w:rsidRPr="000747E1" w:rsidRDefault="000747E1" w:rsidP="000747E1">
            <w:pPr>
              <w:pStyle w:val="Vnbnnidung20"/>
              <w:tabs>
                <w:tab w:val="left" w:pos="258"/>
              </w:tabs>
              <w:rPr>
                <w:rFonts w:ascii="Arial" w:hAnsi="Arial" w:cs="Arial"/>
                <w:sz w:val="20"/>
                <w:szCs w:val="20"/>
              </w:rPr>
            </w:pPr>
            <w:bookmarkStart w:id="3" w:name="bookmark3"/>
            <w:bookmarkEnd w:id="3"/>
            <w:r>
              <w:rPr>
                <w:rFonts w:ascii="Arial" w:hAnsi="Arial" w:cs="Arial"/>
                <w:sz w:val="20"/>
                <w:szCs w:val="20"/>
                <w:lang w:val="en-US"/>
              </w:rPr>
              <w:t xml:space="preserve">- </w:t>
            </w:r>
            <w:r w:rsidRPr="000747E1">
              <w:rPr>
                <w:rFonts w:ascii="Arial" w:hAnsi="Arial" w:cs="Arial"/>
                <w:sz w:val="20"/>
                <w:szCs w:val="20"/>
              </w:rPr>
              <w:t>Website Chi cục Thuế;</w:t>
            </w:r>
          </w:p>
          <w:p w:rsidR="000747E1" w:rsidRPr="000747E1" w:rsidRDefault="000747E1" w:rsidP="000747E1">
            <w:pPr>
              <w:pStyle w:val="Vnbnnidung20"/>
              <w:tabs>
                <w:tab w:val="left" w:pos="258"/>
              </w:tabs>
              <w:spacing w:after="180"/>
              <w:rPr>
                <w:rFonts w:ascii="Arial" w:hAnsi="Arial" w:cs="Arial"/>
                <w:sz w:val="20"/>
                <w:szCs w:val="20"/>
              </w:rPr>
            </w:pPr>
            <w:bookmarkStart w:id="4" w:name="bookmark4"/>
            <w:bookmarkEnd w:id="4"/>
            <w:r>
              <w:rPr>
                <w:rFonts w:ascii="Arial" w:hAnsi="Arial" w:cs="Arial"/>
                <w:sz w:val="20"/>
                <w:szCs w:val="20"/>
                <w:lang w:val="en-US"/>
              </w:rPr>
              <w:t xml:space="preserve">- </w:t>
            </w:r>
            <w:r w:rsidRPr="000747E1">
              <w:rPr>
                <w:rFonts w:ascii="Arial" w:hAnsi="Arial" w:cs="Arial"/>
                <w:sz w:val="20"/>
                <w:szCs w:val="20"/>
              </w:rPr>
              <w:t>Lưu: VT, QLDN1. PD.</w:t>
            </w:r>
          </w:p>
          <w:p w:rsidR="000747E1" w:rsidRPr="008C59AC" w:rsidRDefault="000747E1" w:rsidP="00DF3FC0">
            <w:pPr>
              <w:pStyle w:val="Vnbnnidung20"/>
              <w:tabs>
                <w:tab w:val="left" w:pos="258"/>
              </w:tabs>
              <w:rPr>
                <w:rFonts w:ascii="Arial" w:hAnsi="Arial" w:cs="Arial"/>
                <w:sz w:val="20"/>
                <w:szCs w:val="20"/>
              </w:rPr>
            </w:pPr>
          </w:p>
        </w:tc>
        <w:tc>
          <w:tcPr>
            <w:tcW w:w="4584" w:type="dxa"/>
          </w:tcPr>
          <w:p w:rsidR="000747E1" w:rsidRDefault="000747E1" w:rsidP="00DF3FC0">
            <w:pPr>
              <w:spacing w:before="100" w:beforeAutospacing="1" w:after="100" w:afterAutospacing="1"/>
              <w:jc w:val="center"/>
              <w:rPr>
                <w:rFonts w:ascii="Arial" w:eastAsia="Times New Roman" w:hAnsi="Arial" w:cs="Arial"/>
                <w:b/>
                <w:sz w:val="20"/>
                <w:szCs w:val="20"/>
              </w:rPr>
            </w:pPr>
            <w:r w:rsidRPr="00403944">
              <w:rPr>
                <w:rFonts w:ascii="Arial" w:eastAsia="Times New Roman" w:hAnsi="Arial" w:cs="Arial"/>
                <w:b/>
                <w:sz w:val="20"/>
                <w:szCs w:val="20"/>
              </w:rPr>
              <w:t>KT. CHI CỤC TRƯỞNG</w:t>
            </w:r>
            <w:r w:rsidRPr="00403944">
              <w:rPr>
                <w:rFonts w:ascii="Arial" w:eastAsia="Times New Roman" w:hAnsi="Arial" w:cs="Arial"/>
                <w:b/>
                <w:sz w:val="20"/>
                <w:szCs w:val="20"/>
              </w:rPr>
              <w:br/>
              <w:t>PHÓ CHI CỤC TRƯỞNG</w:t>
            </w:r>
          </w:p>
          <w:p w:rsidR="000747E1" w:rsidRPr="00403944" w:rsidRDefault="000747E1" w:rsidP="00DF3FC0">
            <w:pPr>
              <w:spacing w:before="100" w:beforeAutospacing="1" w:after="100" w:afterAutospacing="1"/>
              <w:jc w:val="center"/>
              <w:rPr>
                <w:rFonts w:ascii="Arial" w:eastAsia="Times New Roman" w:hAnsi="Arial" w:cs="Arial"/>
                <w:b/>
                <w:sz w:val="20"/>
                <w:szCs w:val="20"/>
              </w:rPr>
            </w:pPr>
          </w:p>
          <w:p w:rsidR="000747E1" w:rsidRPr="00DE4604" w:rsidRDefault="000747E1" w:rsidP="00DF3FC0">
            <w:pPr>
              <w:spacing w:before="100" w:beforeAutospacing="1" w:after="100" w:afterAutospacing="1"/>
              <w:jc w:val="center"/>
              <w:rPr>
                <w:rFonts w:ascii="Arial" w:eastAsia="Times New Roman" w:hAnsi="Arial" w:cs="Arial"/>
                <w:b/>
                <w:sz w:val="20"/>
                <w:szCs w:val="20"/>
                <w:lang w:val="en-US"/>
              </w:rPr>
            </w:pPr>
            <w:r>
              <w:rPr>
                <w:rFonts w:ascii="Arial" w:eastAsia="Times New Roman" w:hAnsi="Arial" w:cs="Arial"/>
                <w:b/>
                <w:sz w:val="20"/>
                <w:szCs w:val="20"/>
                <w:lang w:val="en-US"/>
              </w:rPr>
              <w:t>Trần Chí Cường</w:t>
            </w:r>
          </w:p>
          <w:p w:rsidR="000747E1" w:rsidRPr="00403944" w:rsidRDefault="000747E1" w:rsidP="00DF3FC0">
            <w:pPr>
              <w:pStyle w:val="Vnbnnidung0"/>
              <w:tabs>
                <w:tab w:val="left" w:pos="4030"/>
                <w:tab w:val="left" w:leader="dot" w:pos="4198"/>
              </w:tabs>
              <w:ind w:left="360" w:firstLine="0"/>
              <w:jc w:val="center"/>
              <w:rPr>
                <w:rFonts w:ascii="Arial" w:hAnsi="Arial" w:cs="Arial"/>
                <w:b/>
                <w:sz w:val="20"/>
                <w:szCs w:val="20"/>
              </w:rPr>
            </w:pPr>
          </w:p>
        </w:tc>
      </w:tr>
      <w:bookmarkEnd w:id="0"/>
    </w:tbl>
    <w:p w:rsidR="00414D8C" w:rsidRPr="000747E1" w:rsidRDefault="00414D8C" w:rsidP="000747E1">
      <w:pPr>
        <w:pStyle w:val="Vnbnnidung20"/>
        <w:rPr>
          <w:rFonts w:ascii="Arial" w:hAnsi="Arial" w:cs="Arial"/>
          <w:sz w:val="20"/>
          <w:szCs w:val="20"/>
        </w:rPr>
      </w:pPr>
    </w:p>
    <w:sectPr w:rsidR="00414D8C" w:rsidRPr="000747E1">
      <w:headerReference w:type="even" r:id="rId7"/>
      <w:headerReference w:type="default" r:id="rId8"/>
      <w:pgSz w:w="11900" w:h="16840"/>
      <w:pgMar w:top="1110" w:right="1060" w:bottom="318" w:left="1557"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37B" w:rsidRDefault="0014637B">
      <w:r>
        <w:separator/>
      </w:r>
    </w:p>
  </w:endnote>
  <w:endnote w:type="continuationSeparator" w:id="0">
    <w:p w:rsidR="0014637B" w:rsidRDefault="0014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37B" w:rsidRDefault="0014637B"/>
  </w:footnote>
  <w:footnote w:type="continuationSeparator" w:id="0">
    <w:p w:rsidR="0014637B" w:rsidRDefault="0014637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D8C" w:rsidRDefault="0014637B">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3902710</wp:posOffset>
              </wp:positionH>
              <wp:positionV relativeFrom="page">
                <wp:posOffset>402590</wp:posOffset>
              </wp:positionV>
              <wp:extent cx="67310" cy="100330"/>
              <wp:effectExtent l="0" t="0" r="0" b="0"/>
              <wp:wrapNone/>
              <wp:docPr id="13" name="Shape 13"/>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rsidR="00414D8C" w:rsidRDefault="0014637B">
                          <w:pPr>
                            <w:pStyle w:val="utranghocchntrang20"/>
                            <w:rPr>
                              <w:sz w:val="24"/>
                              <w:szCs w:val="24"/>
                            </w:rPr>
                          </w:pPr>
                          <w:r>
                            <w:rPr>
                              <w:sz w:val="24"/>
                              <w:szCs w:val="24"/>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26" type="#_x0000_t202" style="position:absolute;margin-left:307.3pt;margin-top:31.7pt;width:5.3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vgkwEAACIDAAAOAAAAZHJzL2Uyb0RvYy54bWysUm1LwzAQ/i74H0K+u3YbqJR1QxmKICqo&#10;PyBLkzXQ5EIurt2/95J1U/Sb+CW9tz733HO3WA22YzsV0ICr+XRScqachMa4bc3f3+4urjnDKFwj&#10;OnCq5nuFfLU8P1v0vlIzaKFrVGAE4rDqfc3bGH1VFChbZQVOwCtHSQ3Bikhu2BZNED2h266YleVl&#10;0UNofACpECm6PiT5MuNrrWR81hpVZF3NiVvMb8jvJr3FciGqbRC+NXKkIf7AwgrjqOkJai2iYB/B&#10;/IKyRgZA0HEiwRagtZEqz0DTTMsf07y2wqs8C4mD/iQT/h+sfNq9BGYa2t2cMycs7Si3ZeSTOL3H&#10;impePVXF4RYGKjzGkYJp5kEHm740DaM8ybw/SauGyCQFL6/mU0pIykzLcj7Pyhdf//qA8V6BZcmo&#10;eaDFZT3F7hEj8aDSY0lq5eDOdF2KJ4IHIsmKw2YYWW+g2RPpnnZbc0fHx1n34Ei6dAZHIxyNzWgk&#10;cPQ3H5Ea5L4J9QA1NqNFZDrj0aRNf/dz1ddpLz8BAAD//wMAUEsDBBQABgAIAAAAIQBizEAt3QAA&#10;AAkBAAAPAAAAZHJzL2Rvd25yZXYueG1sTI/BTsMwDIbvSLxDZCRuLF0ZZeuaTmgSF25sCIlb1nhN&#10;ReJUTda1b485wc2Wf33+/mo3eSdGHGIXSMFykYFAaoLpqFXwcXx9WIOISZPRLhAqmDHCrr69qXRp&#10;wpXecTykVjCEYqkV2JT6UsrYWPQ6LkKPxLdzGLxOvA6tNIO+Mtw7mWdZIb3uiD9Y3ePeYvN9uHgF&#10;z9NnwD7iHr/OYzPYbl67t1mp+7vpZQsi4ZT+wvCrz+pQs9MpXMhE4RQUy1XBUR4eVyA4UORPOYgT&#10;0zc5yLqS/xvUPwAAAP//AwBQSwECLQAUAAYACAAAACEAtoM4kv4AAADhAQAAEwAAAAAAAAAAAAAA&#10;AAAAAAAAW0NvbnRlbnRfVHlwZXNdLnhtbFBLAQItABQABgAIAAAAIQA4/SH/1gAAAJQBAAALAAAA&#10;AAAAAAAAAAAAAC8BAABfcmVscy8ucmVsc1BLAQItABQABgAIAAAAIQBEmsvgkwEAACIDAAAOAAAA&#10;AAAAAAAAAAAAAC4CAABkcnMvZTJvRG9jLnhtbFBLAQItABQABgAIAAAAIQBizEAt3QAAAAkBAAAP&#10;AAAAAAAAAAAAAAAAAO0DAABkcnMvZG93bnJldi54bWxQSwUGAAAAAAQABADzAAAA9wQAAAAA&#10;" filled="f" stroked="f">
              <v:textbox style="mso-fit-shape-to-text:t" inset="0,0,0,0">
                <w:txbxContent>
                  <w:p w:rsidR="00414D8C" w:rsidRDefault="0014637B">
                    <w:pPr>
                      <w:pStyle w:val="utranghocchntrang20"/>
                      <w:rPr>
                        <w:sz w:val="24"/>
                        <w:szCs w:val="24"/>
                      </w:rPr>
                    </w:pPr>
                    <w:r>
                      <w:rPr>
                        <w:sz w:val="24"/>
                        <w:szCs w:val="24"/>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D8C" w:rsidRDefault="00414D8C">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60DC5"/>
    <w:multiLevelType w:val="multilevel"/>
    <w:tmpl w:val="FB082F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D8C"/>
    <w:rsid w:val="000747E1"/>
    <w:rsid w:val="0014637B"/>
    <w:rsid w:val="00414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75D5"/>
  <w15:docId w15:val="{0D29A78B-DCD2-4C12-89A9-AD33D47A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sz w:val="28"/>
      <w:szCs w:val="28"/>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Tahoma" w:eastAsia="Tahoma" w:hAnsi="Tahoma" w:cs="Tahoma"/>
      <w:b/>
      <w:bCs/>
      <w:i w:val="0"/>
      <w:iCs w:val="0"/>
      <w:smallCaps w:val="0"/>
      <w:strike w:val="0"/>
      <w:color w:val="F6090A"/>
      <w:sz w:val="16"/>
      <w:szCs w:val="1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customStyle="1" w:styleId="Vnbnnidung0">
    <w:name w:val="Văn bản nội dung"/>
    <w:basedOn w:val="Normal"/>
    <w:link w:val="Vnbnnidung"/>
    <w:pPr>
      <w:spacing w:after="80"/>
      <w:ind w:firstLine="400"/>
    </w:pPr>
    <w:rPr>
      <w:rFonts w:ascii="Times New Roman" w:eastAsia="Times New Roman" w:hAnsi="Times New Roman" w:cs="Times New Roman"/>
      <w:i/>
      <w:iCs/>
      <w:sz w:val="28"/>
      <w:szCs w:val="28"/>
    </w:rPr>
  </w:style>
  <w:style w:type="paragraph" w:customStyle="1" w:styleId="Chthchnh0">
    <w:name w:val="Chú thích ảnh"/>
    <w:basedOn w:val="Normal"/>
    <w:link w:val="Chthchnh"/>
    <w:pPr>
      <w:jc w:val="center"/>
    </w:pPr>
    <w:rPr>
      <w:rFonts w:ascii="Times New Roman" w:eastAsia="Times New Roman" w:hAnsi="Times New Roman" w:cs="Times New Roman"/>
      <w:b/>
      <w:bCs/>
      <w:sz w:val="26"/>
      <w:szCs w:val="26"/>
    </w:rPr>
  </w:style>
  <w:style w:type="paragraph" w:customStyle="1" w:styleId="Vnbnnidung30">
    <w:name w:val="Văn bản nội dung (3)"/>
    <w:basedOn w:val="Normal"/>
    <w:link w:val="Vnbnnidung3"/>
    <w:rPr>
      <w:rFonts w:ascii="Tahoma" w:eastAsia="Tahoma" w:hAnsi="Tahoma" w:cs="Tahoma"/>
      <w:b/>
      <w:bCs/>
      <w:color w:val="F6090A"/>
      <w:sz w:val="16"/>
      <w:szCs w:val="1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table" w:styleId="TableGrid">
    <w:name w:val="Table Grid"/>
    <w:basedOn w:val="TableNormal"/>
    <w:uiPriority w:val="39"/>
    <w:rsid w:val="00074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623</Words>
  <Characters>3554</Characters>
  <Application>Microsoft Office Word</Application>
  <DocSecurity>0</DocSecurity>
  <Lines>29</Lines>
  <Paragraphs>8</Paragraphs>
  <ScaleCrop>false</ScaleCrop>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CỤC THUẾ LONG AN                CỘN G HÒA XÃ HỘI CHỦ NGHĨA VIỆT NAM</dc:title>
  <dc:subject/>
  <dc:creator>Hoang</dc:creator>
  <cp:keywords/>
  <cp:lastModifiedBy>Admin</cp:lastModifiedBy>
  <cp:revision>2</cp:revision>
  <dcterms:created xsi:type="dcterms:W3CDTF">2025-04-29T09:25:00Z</dcterms:created>
  <dcterms:modified xsi:type="dcterms:W3CDTF">2025-04-29T09:29:00Z</dcterms:modified>
</cp:coreProperties>
</file>